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bidi w:val="0"/>
        <w:spacing w:before="35" w:after="0"/>
        <w:ind w:left="0" w:right="111" w:hanging="0"/>
        <w:jc w:val="right"/>
        <w:rPr/>
      </w:pPr>
      <w:r>
        <w:rPr>
          <w:spacing w:val="-1"/>
        </w:rPr>
        <w:t xml:space="preserve">Таблица </w:t>
      </w:r>
      <w:r>
        <w:rPr/>
        <w:t>1</w:t>
      </w:r>
    </w:p>
    <w:p>
      <w:pPr>
        <w:pStyle w:val="TextBody"/>
        <w:bidi w:val="0"/>
        <w:spacing w:before="47" w:after="0"/>
        <w:ind w:left="2364" w:right="801" w:hanging="1604"/>
        <w:rPr/>
      </w:pPr>
      <w:r>
        <w:rPr>
          <w:spacing w:val="-1"/>
        </w:rPr>
        <w:t>Перечень</w:t>
      </w:r>
      <w:r>
        <w:rPr>
          <w:spacing w:val="-2"/>
        </w:rPr>
        <w:t xml:space="preserve"> </w:t>
      </w:r>
      <w:r>
        <w:rPr>
          <w:spacing w:val="-1"/>
        </w:rPr>
        <w:t>кадастровых</w:t>
      </w:r>
      <w:r>
        <w:rPr>
          <w:spacing w:val="-2"/>
        </w:rPr>
        <w:t xml:space="preserve"> </w:t>
      </w:r>
      <w:r>
        <w:rPr>
          <w:spacing w:val="-1"/>
        </w:rPr>
        <w:t>номеров существующих</w:t>
      </w:r>
      <w:r>
        <w:rPr/>
        <w:t xml:space="preserve"> </w:t>
      </w:r>
      <w:r>
        <w:rPr>
          <w:spacing w:val="-1"/>
        </w:rPr>
        <w:t>земельных</w:t>
      </w:r>
      <w:r>
        <w:rPr/>
        <w:t xml:space="preserve"> </w:t>
      </w:r>
      <w:r>
        <w:rPr>
          <w:spacing w:val="-1"/>
        </w:rPr>
        <w:t xml:space="preserve">участков, </w:t>
      </w:r>
      <w:r>
        <w:rPr/>
        <w:t>на</w:t>
      </w:r>
      <w:r>
        <w:rPr>
          <w:spacing w:val="-1"/>
        </w:rPr>
        <w:t xml:space="preserve"> которых</w:t>
      </w:r>
      <w:r>
        <w:rPr>
          <w:spacing w:val="-2"/>
        </w:rPr>
        <w:t xml:space="preserve"> </w:t>
      </w:r>
      <w:r>
        <w:rPr>
          <w:spacing w:val="-1"/>
        </w:rPr>
        <w:t>линейный</w:t>
      </w:r>
      <w:r>
        <w:rPr>
          <w:spacing w:val="-2"/>
        </w:rPr>
        <w:t xml:space="preserve"> </w:t>
      </w:r>
      <w:r>
        <w:rPr>
          <w:spacing w:val="-1"/>
        </w:rPr>
        <w:t>объект может</w:t>
      </w:r>
      <w:r>
        <w:rPr>
          <w:spacing w:val="-4"/>
        </w:rPr>
        <w:t xml:space="preserve"> </w:t>
      </w:r>
      <w:r>
        <w:rPr/>
        <w:t>быть</w:t>
      </w:r>
      <w:r>
        <w:rPr>
          <w:spacing w:val="-4"/>
        </w:rPr>
        <w:t xml:space="preserve"> </w:t>
      </w:r>
      <w:r>
        <w:rPr>
          <w:spacing w:val="-1"/>
        </w:rPr>
        <w:t>размещен</w:t>
      </w:r>
      <w:r>
        <w:rPr/>
        <w:t xml:space="preserve"> на</w:t>
      </w:r>
      <w:r>
        <w:rPr>
          <w:spacing w:val="-1"/>
        </w:rPr>
        <w:t xml:space="preserve"> условиях</w:t>
      </w:r>
      <w:r>
        <w:rPr/>
        <w:t xml:space="preserve"> </w:t>
      </w:r>
      <w:r>
        <w:rPr>
          <w:spacing w:val="-2"/>
        </w:rPr>
        <w:t>сервитута,</w:t>
      </w:r>
      <w:r>
        <w:rPr>
          <w:spacing w:val="-1"/>
        </w:rPr>
        <w:t xml:space="preserve"> публичного</w:t>
      </w:r>
      <w:r>
        <w:rPr/>
        <w:t xml:space="preserve"> </w:t>
      </w:r>
      <w:r>
        <w:rPr>
          <w:spacing w:val="-1"/>
        </w:rPr>
        <w:t>сервитута,</w:t>
      </w:r>
      <w:r>
        <w:rPr>
          <w:spacing w:val="99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>
          <w:spacing w:val="-1"/>
        </w:rPr>
        <w:t>адреса</w:t>
      </w:r>
      <w:r>
        <w:rPr>
          <w:spacing w:val="-3"/>
        </w:rPr>
        <w:t xml:space="preserve"> </w:t>
      </w:r>
      <w:r>
        <w:rPr/>
        <w:t xml:space="preserve">или </w:t>
      </w:r>
      <w:r>
        <w:rPr>
          <w:spacing w:val="-1"/>
        </w:rPr>
        <w:t>описание местоположения, перечень</w:t>
      </w:r>
      <w:r>
        <w:rPr>
          <w:spacing w:val="-2"/>
        </w:rPr>
        <w:t xml:space="preserve"> </w:t>
      </w:r>
      <w:r>
        <w:rPr/>
        <w:t xml:space="preserve">и </w:t>
      </w:r>
      <w:r>
        <w:rPr>
          <w:spacing w:val="-1"/>
        </w:rPr>
        <w:t>адреса</w:t>
      </w:r>
      <w:r>
        <w:rPr>
          <w:spacing w:val="-3"/>
        </w:rPr>
        <w:t xml:space="preserve"> </w:t>
      </w:r>
      <w:r>
        <w:rPr>
          <w:spacing w:val="-1"/>
        </w:rPr>
        <w:t>расположенных</w:t>
      </w:r>
      <w:r>
        <w:rPr/>
        <w:t xml:space="preserve"> на</w:t>
      </w:r>
      <w:r>
        <w:rPr>
          <w:spacing w:val="-3"/>
        </w:rPr>
        <w:t xml:space="preserve"> </w:t>
      </w:r>
      <w:r>
        <w:rPr>
          <w:spacing w:val="-1"/>
        </w:rPr>
        <w:t>таких</w:t>
      </w:r>
      <w:r>
        <w:rPr/>
        <w:t xml:space="preserve"> </w:t>
      </w:r>
      <w:r>
        <w:rPr>
          <w:spacing w:val="-1"/>
        </w:rPr>
        <w:t>земельных</w:t>
      </w:r>
      <w:r>
        <w:rPr/>
        <w:t xml:space="preserve"> </w:t>
      </w:r>
      <w:r>
        <w:rPr>
          <w:spacing w:val="-1"/>
        </w:rPr>
        <w:t>участков</w:t>
      </w:r>
      <w:r>
        <w:rPr>
          <w:spacing w:val="-4"/>
        </w:rPr>
        <w:t xml:space="preserve"> </w:t>
      </w:r>
      <w:r>
        <w:rPr>
          <w:spacing w:val="-1"/>
        </w:rPr>
        <w:t>объектов</w:t>
      </w:r>
      <w:r>
        <w:rPr>
          <w:spacing w:val="-4"/>
        </w:rPr>
        <w:t xml:space="preserve"> </w:t>
      </w:r>
      <w:r>
        <w:rPr>
          <w:spacing w:val="-1"/>
        </w:rPr>
        <w:t>недвижимого</w:t>
      </w:r>
      <w:r>
        <w:rPr/>
        <w:t xml:space="preserve"> </w:t>
      </w:r>
      <w:r>
        <w:rPr>
          <w:spacing w:val="-1"/>
        </w:rPr>
        <w:t>имущества</w:t>
      </w:r>
    </w:p>
    <w:p>
      <w:pPr>
        <w:pStyle w:val="Normal"/>
        <w:bidi w:val="0"/>
        <w:ind w:left="0" w:right="0" w:hanging="0"/>
        <w:rPr/>
      </w:pPr>
      <w:r>
        <w:rPr/>
      </w:r>
    </w:p>
    <w:tbl>
      <w:tblPr>
        <w:tblW w:w="214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6621"/>
        <w:gridCol w:w="1275"/>
        <w:gridCol w:w="1418"/>
        <w:gridCol w:w="3827"/>
        <w:gridCol w:w="2693"/>
        <w:gridCol w:w="4912"/>
      </w:tblGrid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кадастровых номеров существующих ЗУ, на которых линейный объект может быть размещен на условиях сервитута, публичного сервитута, их адреса или описание местоположения, перечень и адреса расположенных на таких ЗУ объектов недвижимого имущества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Площадь устанавливаемых публичных сервитутов, кв.м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Цель образования публичного сервитута/ Срок/Обладатель публичного сервитута (если публичный сервитут установлен для целей, предусмотренных </w:t>
            </w:r>
            <w:r>
              <w:fldChar w:fldCharType="begin"/>
            </w:r>
            <w:r>
              <w:rPr>
                <w:sz w:val="20"/>
                <w:b/>
                <w:szCs w:val="20"/>
                <w:rFonts w:ascii="Times New Roman" w:hAnsi="Times New Roman"/>
              </w:rPr>
              <w:instrText xml:space="preserve"> HYPERLINK "https://www.consultant.ru/document/cons_doc_LAW_422430/b124e72af2b0eabb7334175b1c01a5454388a0cb/" \l "dst2014"</w:instrText>
            </w:r>
            <w:r>
              <w:rPr>
                <w:sz w:val="20"/>
                <w:b/>
                <w:szCs w:val="20"/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статьей 39.37</w:t>
            </w:r>
            <w:r>
              <w:rPr>
                <w:sz w:val="20"/>
                <w:b/>
                <w:szCs w:val="20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Земельного кодекса Российской Федерации)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разрешенного использования существующих земельных участков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права, правообладатель, ограничение прав и обременение ЗУ, объекта недвижимости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44:17:000000:214</w:t>
            </w:r>
            <w:r>
              <w:rPr>
                <w:rStyle w:val="FootnoteAnchor"/>
              </w:rPr>
              <w:footnoteReference w:id="2"/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Костромская область, Парфеньевский р-н, Парфеньевский сельский лесхоз, расположен в центральной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части Костромской области на территории Парфеньевского административного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25085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269718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-28" w:right="-29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Установить публичный сервитут в целях строительства и эксплуатации линейного объекта системы газоснабжения и его неотъемлемых технологических частей регионального значения «Межпоселковый газопровод ГРС Парфеньево-п. Николо-Полома Парфеньевского округа-п. Антропово Антроповского района» в соответствии с пунктом 1 статьи 39.37 Земельного кодекса Российской Федерации. Испрашиваемый срок публичного сервитута 49 лет; в пользу ООО "Газпром газификация ИНН 7813655197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Участки лесного фонда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Российская Федерация собственность 44-01.17-41.2004-3485 от 24.11.2004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аренда ООО «Потрусово» инн 4423002623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аренда ООО «Древторг», инн 4423002817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44:17:000000:206</w:t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i-IN"/>
              </w:rPr>
              <w:t>Почтовый адрес ориентира: Костромская область, р-н Парфеньевский, автодорога Николо-Полома-Парфеньево, км 7.525 - км 18.086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Для размещения и эксплуатации объектов автомобильного транспорта и объектов дорожного хозяйства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собственность, Субъект РФ-Костромская область собственность, № 44-44/001-44/001/007/2016-3747/1 от 18.05.2016;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Областное государственное бюджетное учреждение "Костромское областное управление автомобильных дорог общего пользования "Костромаавтодор", ИНН: 4400000299 Постоянное (бессрочное) пользование, № 44-44-04/006/2010-667 от17.08.2010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44:17:000000:53</w:t>
            </w:r>
            <w:r>
              <w:rPr>
                <w:rStyle w:val="FootnoteAnchor"/>
              </w:rPr>
              <w:footnoteReference w:id="3"/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 Почтовый адрес ориентира: Костромская область, р-н Парфеньевский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Подъезд к Потрусово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собственность, Костромская область Собственность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44:17:000000:53-44/016/2018-2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25.06.2018; Областное государственное бюджетное учреждение "Костромское областное управление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автомобильных дорог общего пользования "Костромаавтодор", ИНН: 4400000299 Постоянное (бессрочное) пользование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44:17:000000:53-44/001/2017-1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22.08.2017</w:t>
            </w:r>
          </w:p>
        </w:tc>
      </w:tr>
      <w:tr>
        <w:trPr>
          <w:trHeight w:val="69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44:17:000000:557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Российская Федерация, Костромская область, Парфеньевский район, Парфеньевское лесничество, 1-е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Парфеньевское участковое лесничество, кварталы 78,90,122,143-147; Матвеевское участковое лесничество,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кварталы 55,75,76,88-90,108,127,128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9935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44:17:000000:557-44/016/2024-1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02.02.2024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аренда ООО «Виктория»,ИНН 4423002775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44:17:000000:202</w:t>
            </w:r>
            <w:r>
              <w:rPr>
                <w:rStyle w:val="FootnoteAnchor"/>
              </w:rPr>
              <w:footnoteReference w:id="4"/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адрес ориентира: Костромская область, р-н Парфеньевский, Парфеньевский лесхоз.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13961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Для ведения лесного хозяйства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44-01.17-45.2004-3770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29.10.2004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аренда ООО «Восток-1» инн 4423002790</w:t>
            </w:r>
          </w:p>
        </w:tc>
      </w:tr>
      <w:tr>
        <w:trPr>
          <w:trHeight w:val="859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44:17:000000:493</w:t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Почтовый адрес ориентира: Российская Федерация, Костромская область, Парфеньевский р-н, Антроповское лесничество: Николо- Поломское участковое лесничество, кварталы 16, 28,33, 36, 37, 38, 39, 52, 53, 54, 55, 56, 60, 64, 65, 68, 70, 71, 86, 96, 105; 1-е Антроповскоеучастковое лесничество, кварталы 69, 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25289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Российская Федерация Собственность, № 44:17:000000:493-44/016/2022-1 от 03.03.2022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>
                <w:rFonts w:ascii="Times New Roman" w:hAnsi="Times New Roman"/>
                <w:sz w:val="24"/>
                <w:szCs w:val="24"/>
                <w:vertAlign w:val="superscript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44:17:000000:36</w:t>
            </w:r>
            <w:r>
              <w:rPr>
                <w:rStyle w:val="FootnoteAnchor"/>
              </w:rPr>
              <w:footnoteReference w:id="5"/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Spacing1"/>
              <w:widowControl w:val="false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left="0" w:right="0" w:hanging="0"/>
              <w:jc w:val="center"/>
              <w:outlineLvl w:val="1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Почтовый адрес ориентира: Костромская область, р-н Парфеньевский, СПК "Правда"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22481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Муниципальное образование Парфеньевского муниципального округа Костромской области Собственность, № 44:17:000000:36-44/016/2022-15 от 09.12.2022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44:17:000000:501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Почтовый адрес ориентира: Российская Федерация, Костромская область, Парфеньевский р-н, 2-е Парфеньевское участковое лесничество, кварталы 212, 213, 214, 215, 216, 217, 218,219, 220, 221, 222, 229, 230, 231, 232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9239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Собственность, № 44:17:000000:501-44/016/2022-1 от 04.04.2022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ИП Бонь В.И. ИНН 442300029755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44:17:000000:207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Почтовый адрес ориентира: Костромская область, р-н Парфеньевский, автодорога Николо-Полома-Парфеньево, км 1.493-км 7.525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Для размещения и эксплуатации объектов автомобильного транспорта и объектов дорожного хозяйства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Субъект РФ - Костромская область Собственность, № 44-44/001-44/001/007/2016-3745/1 от 19.05.2016;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Областное государственное бюджетное учреждение "Костромское областное управление автомобильных дорог общего пользования "Костромаавтодор", ИНН: 4400000299 Постоянное (бессрочное) пользование, № 44-44-04/006/2010-666 от17.08.2010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единое землепользование 44:17:000000:5</w:t>
            </w:r>
            <w:r>
              <w:rPr>
                <w:rStyle w:val="FootnoteAnchor"/>
              </w:rPr>
              <w:footnoteReference w:id="6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(обособленный участок 44:17:022708:1)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адрес ориентира: Костромская обл, р-н Парфеньевский, железная дорога, перегон от границы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Антроповского и Парфеньевского районов, разъезд Николо-Полома, расположен в юго-западной части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Парфеньевского кадастрового района.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Полоса отвода СЖД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44-01.17-66.2003-862 24.10.2003;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44-44-01/056/2005-450 от 16.06.2005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Открытое акционерное общество "Российские железные дороги", ИНН: 7708503727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>
                <w:rFonts w:ascii="Times New Roman" w:hAnsi="Times New Roman"/>
                <w:sz w:val="24"/>
                <w:szCs w:val="24"/>
                <w:vertAlign w:val="superscript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44:00:000000:48</w:t>
            </w:r>
            <w:r>
              <w:rPr>
                <w:rStyle w:val="FootnoteAnchor"/>
              </w:rPr>
              <w:footnoteReference w:id="7"/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адрес ориентира: Костромская обл., Антроповский р-н, Антроповский лесхоз.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56864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Лесной участок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 44-01.01-45.2004-3769 29.10.2004;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ИП Балыбердин А.А. ИНН 442300023802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«Альянс» ИНН 771407541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«Бердо» ИНН 4408003799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«ТАР» ИНН 4408003284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«Реал», ИНН 4423001891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44:17:000000:560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Российская Федерация, Костромская область, Парфеньевский район, Антроповское лесничество, Николо-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Поломское участковое лесничество, часть квартала 3,5,20, 58 кварталы 11, 41, 46-48, 57, 73, 79, 116, 126,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127, 141, 147, 148, Понизовское участковое лесничество, квартал 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12917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 44:17:000000:560-44/016/2024-1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05.07.2024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ИП Балыбердин А.А. ИНН 442300023802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44:17:000000:555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Российская Федерация, Костромская область, Парфеньевский район, Антроповское лесничество, Николо-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outlineLvl w:val="1"/>
              <w:rPr/>
            </w:pPr>
            <w:r>
              <w:rPr>
                <w:sz w:val="24"/>
                <w:szCs w:val="24"/>
                <w:lang w:bidi="hi-IN"/>
              </w:rPr>
              <w:t>Поломское участковое лесничество, кварталы 21,23,26,34,59,63,67,69,72,80,81,106, части кварталов 7,19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9415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44:17:000000:555-44/016/2024-1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18.01.2024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«Реал», ИНН 4423001891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44:17:000000:559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Российская Федерация, Костромская область, Парфеньевский муниципальный округ, с/х "Задорино" в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районе населенного пункта Горлово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3223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 xml:space="preserve">государственная собственность, Муниципальное образование Парфеньевский муниципальный округ Костромской области собственность 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44:17:000000:559-44/016/2024-1 12.03.2024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44:17:000000:505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Российская Федерация, Костромская область, Парфеньевский район, Антроповскоелесничество, Николо-Поломское участковое лесничество, кварталы15,24,27,42,61,82,120,128, 139,140,155,158; Понизовское участковое лесничество, кварталы1,2,7,14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4092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собственность: 44:17:000000:505-44/016/2022-1, 27.05.2022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ООО «Лесное», ИНН 4423001958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44:17:000000:172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  <w:lang w:bidi="hi-IN"/>
              </w:rPr>
              <w:t>Почтовый адрес ориентира: Костромская область, р-н Парфеньевский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Для размещения и эксплуатации объектов автомобильного транспорта и объектов дорожного хозяйства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Субъект РФ- Костромская область, собственность, № 44-44/001-44/001/007/2016-3752/1 от 20.05.2016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Областное государственное бюджетное учреждение "Костромское областное управление автомобильных дорог общего пользования "Костромаавтодор", ИНН: 4400000299 Постоянное (бессрочное) пользование, № 44-44-04/006/2010-663 от17.08.2010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44:01:000000:790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Российская Федерация, Костромская область, Антроповский район, Антроповское лесничество: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Понизовское участковое лесничество, кварталы 4,6,8,23,29,30, часть кварталов 37,38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13860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44:01:000000:790-44/016/2023-1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27.07.2023</w:t>
            </w:r>
          </w:p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аренда ООО «Лесное», ИНН 4423001958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44:01:000000:875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Российская Федерация, Костромская область, Антроповский район, Антроповское лесничество, 1-е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Антроповское участковое лесничество кварталы 115, 125, 127, 140-142; Понизовское участковое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лесничество кварталы 9-11, 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19424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Заготовка древесины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44:01:000000:875-44/016/2024-1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04.07.2024</w:t>
            </w:r>
          </w:p>
          <w:p>
            <w:pPr>
              <w:pStyle w:val="Normal"/>
              <w:widowControl w:val="false"/>
              <w:bidi w:val="0"/>
              <w:ind w:left="0" w:right="0" w:hanging="0"/>
              <w:rPr/>
            </w:pPr>
            <w:r>
              <w:rPr>
                <w:sz w:val="24"/>
                <w:szCs w:val="24"/>
              </w:rPr>
              <w:t>аренда ИП Балыбердин А.А., ИНН 442300023802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44:01:000000:308</w:t>
            </w:r>
            <w:r>
              <w:rPr>
                <w:rStyle w:val="FootnoteAnchor"/>
              </w:rPr>
              <w:footnoteReference w:id="8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Костромская область, Антроповский р-н., Антроповский сельский лесхоз-в северо-восточной части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Костромской области, лесничества: Курновское, Котельниковское на территории Антроповского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13238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Лесной участок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44-01.01-41.2004-3491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25.11.2004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СПК «Мелеховский» ИНН 4408003830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44:01:000000:72</w:t>
            </w:r>
            <w:r>
              <w:rPr>
                <w:rStyle w:val="FootnoteAnchor"/>
              </w:rPr>
              <w:footnoteReference w:id="9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адрес ориентира: обл. Костромская, р-н Антроповский, Курновское с/п, д. Мелехино.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2404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СПК «Мелеховский» ИНН 4408003830 реквизиты документа основания постановление администрации МО Антроповский муниципальный район от 29.06.2007 №146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44:01:000000:133</w:t>
            </w:r>
            <w:r>
              <w:rPr>
                <w:rStyle w:val="FootnoteAnchor"/>
              </w:rPr>
              <w:footnoteReference w:id="10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адрес ориентира: обл. Костромская, р-н Антроповский.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Подъезд к Мелехино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нет прав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vertAlign w:val="superscript"/>
                <w:lang w:bidi="hi-IN"/>
              </w:rPr>
            </w:pPr>
            <w:r>
              <w:rPr>
                <w:sz w:val="24"/>
                <w:lang w:bidi="hi-IN"/>
              </w:rPr>
              <w:t>44:01:000000:73</w:t>
            </w:r>
            <w:r>
              <w:rPr>
                <w:rStyle w:val="FootnoteAnchor"/>
              </w:rPr>
              <w:footnoteReference w:id="11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lang w:bidi="hi-IN"/>
              </w:rPr>
              <w:t>адрес ориентира: обл. Костромская, р-н Антроповский, Курновское с/п, д. Мелехино.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1779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№44-44-01/024/2007-327 от 08.10.2007 Сельскохозяйственный производственный кооператив "Мелеховский", ИНН: 4408003830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44:01:000000:129</w:t>
            </w:r>
            <w:r>
              <w:rPr>
                <w:rStyle w:val="FootnoteAnchor"/>
              </w:rPr>
              <w:footnoteReference w:id="12"/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адрес ориентира: обл. Костромская, р-н Антроповский.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Подъезд к Чебаново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нет прав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44:01:000000:124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Почтовый адрес ориентира: Костромская область, Антроповский р-н, АвтодорогаСтепаново-Крусаново 13-38 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Автодорога Степаново-Крусаново 13-38 км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государственная собственность, Субъект РФ - Костромская область собственность, № 44-44/001-44/001/007/2016-3644/1 от 18.05.2016;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Областное государственное бюджетное учреждение "Костромскоеобластное управление автомобильных дорог общего пользования"Костромаавтодор", ИНН: 4400000299 постоянное (бессрочное) пользование, № 44-44-04/006/2010-670 от17.08.2010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44:01:000000:822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Костромская область, Антроповский район, Антроповское сельское поселение, п.Антропово, проезд от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ул.Ломоносова до ул.Некрасова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Улично-дорожная сеть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нет прав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единое землепользование 44:01:000000:3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(обособленный участок 44:01:120404:53)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установлено относительно ориентира, расположенного в границах участка.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Почтовый адрес ориентира: Костромская обл., Антроповский р-н., п. Антропово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Под объекты транспорта Железнодорожного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государственная собственность, Российская Федерация собственность, № 44-01.01-41.2004-1680 от 06.07.2004;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аренда 44-44-01/003/2005-187 от 21.02.2005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Открытое акционерное общество "Российские железные дороги", ИНН:7708503727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44:01:120404:399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Костромская область, Антроповский р-н, Антроповское с/п, п. Антропово, ул. Заводская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Улично-дорожная сеть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нет прав</w:t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44:17:052012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44:17:031904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44:17:033401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44:17:030701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4101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44:17:030113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1326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44:17:022708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44:17:031903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5237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44:17:023301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44:17:022806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44:17:023101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1535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44:01:013606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44:01:120205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6769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  <w:lang w:bidi="hi-IN"/>
              </w:rPr>
              <w:t>44:01:120404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3314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7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/>
              <w:t>Всего: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b/>
                <w:color w:val="000000"/>
              </w:rPr>
              <w:t>156314 кв.м. (Парфеньевский муниципальный округ)+113404 кв.м. (Антроповский район)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/>
            </w:pPr>
            <w:r>
              <w:rPr>
                <w:b/>
                <w:color w:val="000000"/>
                <w:sz w:val="28"/>
                <w:szCs w:val="28"/>
              </w:rPr>
              <w:t>269718 кв.м.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ind w:left="0" w:right="0" w:hanging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1"/>
              <w:widowControl w:val="false"/>
              <w:tabs>
                <w:tab w:val="clear" w:pos="720"/>
              </w:tabs>
              <w:bidi w:val="0"/>
              <w:ind w:left="0" w:righ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1993" w:leader="none"/>
        </w:tabs>
        <w:bidi w:val="0"/>
        <w:ind w:left="0" w:right="0" w:hanging="0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orient="landscape" w:w="23811" w:h="16838"/>
      <w:pgMar w:left="780" w:right="780" w:gutter="0" w:header="0" w:top="940" w:footer="724" w:bottom="9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 Light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bidi w:val="0"/>
      <w:spacing w:lineRule="auto" w:line="12"/>
      <w:ind w:left="0" w:right="0" w:hanging="0"/>
      <w:rPr>
        <w:sz w:val="20"/>
        <w:szCs w:val="20"/>
      </w:rPr>
    </w:pPr>
    <w:r>
      <w:rPr>
        <w:sz w:val="20"/>
        <w:szCs w:val="20"/>
      </w:rPr>
    </w:r>
    <w:r>
      <mc:AlternateContent>
        <mc:Choice Requires="wps">
          <w:drawing>
            <wp:anchor behindDoc="1" distT="72390" distB="72390" distL="72390" distR="72390" simplePos="0" locked="0" layoutInCell="0" allowOverlap="1" relativeHeight="6">
              <wp:simplePos x="0" y="0"/>
              <wp:positionH relativeFrom="page">
                <wp:posOffset>6932930</wp:posOffset>
              </wp:positionH>
              <wp:positionV relativeFrom="page">
                <wp:posOffset>10079990</wp:posOffset>
              </wp:positionV>
              <wp:extent cx="203200" cy="177800"/>
              <wp:effectExtent l="0" t="0" r="0" b="0"/>
              <wp:wrapNone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200" cy="17780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TextBody"/>
                            <w:bidi w:val="0"/>
                            <w:spacing w:lineRule="exact" w:line="265"/>
                            <w:ind w:left="40" w:right="0" w:hanging="0"/>
                            <w:rPr/>
                          </w:pPr>
                          <w:r>
                            <w:rPr>
                              <w:sz w:val="24"/>
                              <w:szCs w:val="24"/>
                              <w:lang w:val="en-US" w:eastAsia="en-US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  <w:lang w:val="en-US" w:eastAsia="en-US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  <w:lang w:val="en-US" w:eastAsia="en-US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lang w:val="en-US" w:eastAsia="en-US"/>
                            </w:rPr>
                            <w:t>5</w:t>
                          </w:r>
                          <w:r>
                            <w:rPr>
                              <w:sz w:val="24"/>
                              <w:szCs w:val="24"/>
                              <w:lang w:val="en-US"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16pt;height:14pt;mso-wrap-distance-left:5.7pt;mso-wrap-distance-right:5.7pt;mso-wrap-distance-top:5.7pt;mso-wrap-distance-bottom:5.7pt;margin-top:793.7pt;mso-position-vertical-relative:page;margin-left:545.9pt;mso-position-horizontal-relative:page">
              <v:fill opacity="0f"/>
              <v:textbox inset="0in,0in,0in,0in">
                <w:txbxContent>
                  <w:p>
                    <w:pPr>
                      <w:pStyle w:val="TextBody"/>
                      <w:bidi w:val="0"/>
                      <w:spacing w:lineRule="exact" w:line="265"/>
                      <w:ind w:left="40" w:right="0" w:hanging="0"/>
                      <w:rPr/>
                    </w:pPr>
                    <w:r>
                      <w:rPr>
                        <w:sz w:val="24"/>
                        <w:szCs w:val="24"/>
                        <w:lang w:val="en-US" w:eastAsia="en-US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  <w:lang w:val="en-US" w:eastAsia="en-US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  <w:lang w:val="en-US" w:eastAsia="en-US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lang w:val="en-US" w:eastAsia="en-US"/>
                      </w:rPr>
                      <w:t>5</w:t>
                    </w:r>
                    <w:r>
                      <w:rPr>
                        <w:sz w:val="24"/>
                        <w:szCs w:val="24"/>
                        <w:lang w:val="en-US" w:eastAsia="en-US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bookmarkStart w:id="0" w:name="_Hlk171413843"/>
      <w:r>
        <w:rPr/>
        <w:t>Лесной участок, ранее учтенный, границы которого не установлены согласно действующего законодательства</w:t>
      </w:r>
      <w:bookmarkEnd w:id="0"/>
    </w:p>
  </w:footnote>
  <w:footnote w:id="3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4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Лесной участок, ранее учтенный, границы которого не установлены согласно действующего законодательства</w:t>
      </w:r>
    </w:p>
  </w:footnote>
  <w:footnote w:id="5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6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7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Лесной участок, ранее учтенный, границы которого не установлены согласно действующего законодательства</w:t>
      </w:r>
    </w:p>
  </w:footnote>
  <w:footnote w:id="8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Лесной участок, ранее учтенный, границы которого не установлены согласно действующего законодательства</w:t>
      </w:r>
    </w:p>
  </w:footnote>
  <w:footnote w:id="9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10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  <w:footnote w:id="11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bookmarkStart w:id="1" w:name="_Hlk171417853"/>
      <w:r>
        <w:rPr/>
        <w:t>Земельный участок, ранее учтенный, границы которого не установлены согласно действующего законодательства</w:t>
      </w:r>
      <w:bookmarkEnd w:id="1"/>
    </w:p>
  </w:footnote>
  <w:footnote w:id="12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>Земельный участок, ранее учтенный, границы которого не установлены согласно действующего законодательства</w:t>
      </w:r>
    </w:p>
  </w:footnote>
</w:footnotes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spacing w:before="239" w:after="0"/>
      <w:ind w:left="3034" w:hanging="0"/>
      <w:outlineLvl w:val="0"/>
    </w:pPr>
    <w:rPr>
      <w:b/>
      <w:bCs/>
      <w:sz w:val="28"/>
      <w:szCs w:val="28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Calibri Light" w:hAnsi="Calibri Light"/>
      <w:b/>
      <w:bCs/>
      <w:kern w:val="2"/>
      <w:sz w:val="32"/>
      <w:szCs w:val="32"/>
    </w:rPr>
  </w:style>
  <w:style w:type="character" w:styleId="Style13">
    <w:name w:val="Основной текст Знак"/>
    <w:basedOn w:val="DefaultParagraphFont"/>
    <w:qFormat/>
    <w:rPr>
      <w:rFonts w:eastAsia="Times New Roman"/>
    </w:rPr>
  </w:style>
  <w:style w:type="character" w:styleId="11">
    <w:name w:val="Без интервала Знак,с интервалом Знак,1 ЗАГОЛОВОК Знак"/>
    <w:qFormat/>
    <w:rPr>
      <w:rFonts w:ascii="Calibri" w:hAnsi="Calibri"/>
    </w:rPr>
  </w:style>
  <w:style w:type="character" w:styleId="Style14">
    <w:name w:val="Текст сноски Знак"/>
    <w:basedOn w:val="DefaultParagraphFont"/>
    <w:qFormat/>
    <w:rPr>
      <w:rFonts w:eastAsia="Times New Roman"/>
      <w:sz w:val="20"/>
      <w:szCs w:val="20"/>
    </w:rPr>
  </w:style>
  <w:style w:type="character" w:styleId="FootnoteCharacters">
    <w:name w:val="Footnote Characters"/>
    <w:basedOn w:val="DefaultParagraphFont"/>
    <w:qFormat/>
    <w:rPr>
      <w:rFonts w:eastAsia="Times New Roman"/>
      <w:sz w:val="24"/>
      <w:szCs w:val="24"/>
      <w:vertAlign w:val="superscript"/>
    </w:rPr>
  </w:style>
  <w:style w:type="character" w:styleId="FootnoteAnchor">
    <w:name w:val="Footnote Reference"/>
    <w:rPr>
      <w:rFonts w:eastAsia="Times New Roman"/>
      <w:sz w:val="24"/>
      <w:szCs w:val="24"/>
      <w:vertAlign w:val="superscript"/>
    </w:rPr>
  </w:style>
  <w:style w:type="character" w:styleId="Style15">
    <w:name w:val="Верхний колонтитул Знак"/>
    <w:basedOn w:val="DefaultParagraphFont"/>
    <w:qFormat/>
    <w:rPr>
      <w:rFonts w:eastAsia="Times New Roman"/>
    </w:rPr>
  </w:style>
  <w:style w:type="character" w:styleId="Style16">
    <w:name w:val="Нижний колонтитул Знак"/>
    <w:basedOn w:val="DefaultParagraphFont"/>
    <w:qFormat/>
    <w:rPr>
      <w:rFonts w:eastAsia="Times New Roman"/>
    </w:rPr>
  </w:style>
  <w:style w:type="character" w:styleId="InternetLink">
    <w:name w:val="Hyperlink"/>
    <w:rPr>
      <w:color w:val="000080"/>
      <w:u w:val="single"/>
    </w:rPr>
  </w:style>
  <w:style w:type="character" w:styleId="EndnoteAnchor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ind w:left="983" w:hanging="163"/>
    </w:pPr>
    <w:rPr>
      <w:sz w:val="28"/>
      <w:szCs w:val="28"/>
    </w:rPr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ru-RU" w:bidi="ar-SA"/>
    </w:rPr>
  </w:style>
  <w:style w:type="paragraph" w:styleId="ListParagraph">
    <w:name w:val="List Paragraph"/>
    <w:basedOn w:val="Normal"/>
    <w:qFormat/>
    <w:pPr/>
    <w:rPr/>
  </w:style>
  <w:style w:type="paragraph" w:styleId="TableParagraph">
    <w:name w:val="Table Paragraph"/>
    <w:basedOn w:val="Normal"/>
    <w:qFormat/>
    <w:pPr/>
    <w:rPr/>
  </w:style>
  <w:style w:type="paragraph" w:styleId="NoSpacing1">
    <w:name w:val="No Spacing,с интервалом,1 ЗАГОЛОВОК"/>
    <w:qFormat/>
    <w:pPr>
      <w:widowControl/>
      <w:bidi w:val="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ru-RU" w:bidi="ar-SA"/>
    </w:rPr>
  </w:style>
  <w:style w:type="paragraph" w:styleId="TableGrid">
    <w:name w:val="Table Grid"/>
    <w:basedOn w:val="NormalTable"/>
    <w:qFormat/>
    <w:pPr>
      <w:widowControl/>
      <w:pBdr/>
    </w:pPr>
    <w:rPr>
      <w:sz w:val="20"/>
      <w:szCs w:val="20"/>
    </w:rPr>
  </w:style>
  <w:style w:type="paragraph" w:styleId="Footnote">
    <w:name w:val="Footnote Text"/>
    <w:basedOn w:val="Normal"/>
    <w:pPr/>
    <w:rPr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LibreOffice/7.4.6.2$Linux_X86_64 LibreOffice_project/40$Build-2</Application>
  <AppVersion>15.0000</AppVersion>
  <Pages>99</Pages>
  <Words>2040</Words>
  <Characters>13644</Characters>
  <CharactersWithSpaces>11631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2024-01-26T10:31:00Z</dcterms:created>
  <dc:creator>Пользователь Windows</dc:creator>
  <dc:description/>
  <dc:language>en-US</dc:language>
  <cp:lastModifiedBy/>
  <dcterms:modified xsi:type="dcterms:W3CDTF">2024-09-17T15:45:00Z</dcterms:modified>
  <cp:revision>98</cp:revision>
  <dc:subject/>
  <dc:title>Основная (утверждаемая) часть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Irina2-PC</vt:lpwstr>
  </property>
</Properties>
</file>